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Theme="minorEastAsia" w:hAnsiTheme="minorEastAsia" w:eastAsiaTheme="minorEastAsia"/>
          <w:sz w:val="24"/>
        </w:rPr>
      </w:pPr>
      <w:r>
        <w:rPr>
          <w:rFonts w:hint="eastAsia" w:asciiTheme="minorEastAsia" w:hAnsiTheme="minorEastAsia" w:eastAsiaTheme="minorEastAsia"/>
          <w:sz w:val="24"/>
        </w:rPr>
        <w:t>第２号様式（第３条関係）</w:t>
      </w:r>
    </w:p>
    <w:p>
      <w:pPr>
        <w:pStyle w:val="15"/>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旭市認定地域クラブ活動認定要件確認書</w:t>
      </w:r>
    </w:p>
    <w:p>
      <w:pPr>
        <w:pStyle w:val="0"/>
        <w:jc w:val="center"/>
        <w:rPr>
          <w:rFonts w:hint="default" w:asciiTheme="minorEastAsia" w:hAnsiTheme="minorEastAsia" w:eastAsiaTheme="minorEastAsia"/>
          <w:sz w:val="24"/>
        </w:rPr>
      </w:pPr>
    </w:p>
    <w:p>
      <w:pPr>
        <w:pStyle w:val="0"/>
        <w:snapToGrid w:val="0"/>
        <w:ind w:left="709"/>
        <w:jc w:val="left"/>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60325</wp:posOffset>
                </wp:positionH>
                <wp:positionV relativeFrom="paragraph">
                  <wp:posOffset>29845</wp:posOffset>
                </wp:positionV>
                <wp:extent cx="6116955" cy="5905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116955" cy="590550"/>
                        </a:xfrm>
                        <a:prstGeom prst="rect">
                          <a:avLst/>
                        </a:prstGeom>
                        <a:noFill/>
                        <a:ln w="9525" cap="flat" cmpd="sng" algn="ctr">
                          <a:solidFill>
                            <a:sysClr val="windowText" lastClr="000000"/>
                          </a:solidFill>
                          <a:prstDash val="dash"/>
                        </a:ln>
                        <a:effectLst/>
                      </wps:spPr>
                      <wps:txbx>
                        <w:txbxContent>
                          <w:p>
                            <w:pPr>
                              <w:pStyle w:val="32"/>
                              <w:numPr>
                                <w:ilvl w:val="0"/>
                                <w:numId w:val="1"/>
                              </w:numPr>
                              <w:jc w:val="left"/>
                              <w:rPr>
                                <w:rFonts w:hint="default"/>
                              </w:rPr>
                            </w:pPr>
                            <w:r>
                              <w:rPr>
                                <w:rFonts w:hint="eastAsia" w:ascii="ＭＳ ゴシック" w:hAnsi="ＭＳ ゴシック" w:eastAsia="ＭＳ ゴシック"/>
                                <w:color w:val="000000" w:themeColor="text1"/>
                                <w:sz w:val="22"/>
                              </w:rPr>
                              <w:t>本確認書の内容を審査するため、必要に応じてヒアリングや現地確認、根拠資料の提出等が求められることがあります。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481.65pt;height:46.5pt;mso-position-horizontal-relative:text;position:absolute;margin-left:4.75pt;margin-top:2.35pt;mso-wrap-distance-bottom:0pt;mso-wrap-distance-right:9pt;mso-wrap-distance-top:0pt;v-text-anchor:middle;" o:spid="_x0000_s1026" o:allowincell="t" o:allowoverlap="t" filled="f" stroked="t" strokecolor="#000000" strokeweight="0.75pt" o:spt="1">
                <v:fill/>
                <v:stroke linestyle="single" endcap="flat" dashstyle="dash" filltype="solid"/>
                <v:textbox style="layout-flow:horizontal;">
                  <w:txbxContent>
                    <w:p>
                      <w:pPr>
                        <w:pStyle w:val="32"/>
                        <w:numPr>
                          <w:ilvl w:val="0"/>
                          <w:numId w:val="1"/>
                        </w:numPr>
                        <w:jc w:val="left"/>
                        <w:rPr>
                          <w:rFonts w:hint="default"/>
                        </w:rPr>
                      </w:pPr>
                      <w:r>
                        <w:rPr>
                          <w:rFonts w:hint="eastAsia" w:ascii="ＭＳ ゴシック" w:hAnsi="ＭＳ ゴシック" w:eastAsia="ＭＳ ゴシック"/>
                          <w:color w:val="000000" w:themeColor="text1"/>
                          <w:sz w:val="22"/>
                        </w:rPr>
                        <w:t>本確認書の内容を審査するため、必要に応じてヒアリングや現地確認、根拠資料の提出等が求められることがあります。</w:t>
                      </w:r>
                    </w:p>
                  </w:txbxContent>
                </v:textbox>
                <v:imagedata o:title=""/>
                <w10:wrap type="none" anchorx="text" anchory="text"/>
              </v:rect>
            </w:pict>
          </mc:Fallback>
        </mc:AlternateContent>
      </w:r>
    </w:p>
    <w:p>
      <w:pPr>
        <w:pStyle w:val="0"/>
        <w:snapToGrid w:val="0"/>
        <w:ind w:left="709"/>
        <w:jc w:val="left"/>
        <w:rPr>
          <w:rFonts w:hint="default" w:asciiTheme="minorEastAsia" w:hAnsiTheme="minorEastAsia" w:eastAsiaTheme="minorEastAsia"/>
          <w:sz w:val="24"/>
        </w:rPr>
      </w:pPr>
    </w:p>
    <w:p>
      <w:pPr>
        <w:pStyle w:val="0"/>
        <w:snapToGrid w:val="0"/>
        <w:ind w:left="709"/>
        <w:jc w:val="left"/>
        <w:rPr>
          <w:rFonts w:hint="default" w:asciiTheme="minorEastAsia" w:hAnsiTheme="minorEastAsia" w:eastAsiaTheme="minorEastAsia"/>
          <w:sz w:val="24"/>
        </w:rPr>
      </w:pPr>
    </w:p>
    <w:p>
      <w:pPr>
        <w:pStyle w:val="0"/>
        <w:snapToGrid w:val="0"/>
        <w:ind w:left="709"/>
        <w:jc w:val="left"/>
        <w:rPr>
          <w:rFonts w:hint="default" w:asciiTheme="minorEastAsia" w:hAnsiTheme="minorEastAsia" w:eastAsiaTheme="minorEastAsia"/>
          <w:sz w:val="24"/>
        </w:rPr>
      </w:pPr>
    </w:p>
    <w:p>
      <w:pPr>
        <w:pStyle w:val="0"/>
        <w:snapToGrid w:val="0"/>
        <w:ind w:left="241" w:hanging="241" w:hangingChars="10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①</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pPr>
        <w:pStyle w:val="32"/>
        <w:numPr>
          <w:ilvl w:val="0"/>
          <w:numId w:val="2"/>
        </w:numPr>
        <w:snapToGrid w:val="0"/>
        <w:spacing w:line="240" w:lineRule="atLeast"/>
        <w:ind w:left="709" w:hanging="442"/>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w:t>
      </w:r>
      <w:r>
        <w:rPr>
          <w:rFonts w:hint="eastAsia" w:asciiTheme="minorEastAsia" w:hAnsiTheme="minorEastAsia" w:eastAsiaTheme="minorEastAsia"/>
          <w:sz w:val="24"/>
          <w:vertAlign w:val="superscript"/>
        </w:rPr>
        <w:t>※１</w:t>
      </w:r>
      <w:r>
        <w:rPr>
          <w:rFonts w:hint="eastAsia" w:asciiTheme="minorEastAsia" w:hAnsiTheme="minorEastAsia" w:eastAsiaTheme="minorEastAsia"/>
          <w:sz w:val="24"/>
        </w:rPr>
        <w:t>の自主的・主体的な参加による活動</w:t>
      </w:r>
      <w:r>
        <w:rPr>
          <w:rFonts w:hint="eastAsia" w:asciiTheme="minorEastAsia" w:hAnsiTheme="minorEastAsia" w:eastAsiaTheme="minorEastAsia"/>
          <w:sz w:val="24"/>
          <w:vertAlign w:val="superscript"/>
        </w:rPr>
        <w:t>※２</w:t>
      </w:r>
      <w:r>
        <w:rPr>
          <w:rFonts w:hint="eastAsia" w:asciiTheme="minorEastAsia" w:hAnsiTheme="minorEastAsia" w:eastAsiaTheme="minor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pPr>
        <w:pStyle w:val="32"/>
        <w:numPr>
          <w:ilvl w:val="0"/>
          <w:numId w:val="2"/>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所属生徒の過半数が市内在住の生徒であること。また、競技力強化等の観点から広域から生徒を集めるものではないこと</w:t>
      </w:r>
    </w:p>
    <w:p>
      <w:pPr>
        <w:pStyle w:val="32"/>
        <w:numPr>
          <w:ilvl w:val="0"/>
          <w:numId w:val="2"/>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選抜等を行わず、参加を希望する生徒を広く受け入れること</w:t>
      </w:r>
      <w:r>
        <w:rPr>
          <w:rFonts w:hint="eastAsia" w:asciiTheme="minorEastAsia" w:hAnsiTheme="minorEastAsia" w:eastAsiaTheme="minorEastAsia"/>
          <w:sz w:val="24"/>
          <w:vertAlign w:val="superscript"/>
        </w:rPr>
        <w:t>※３</w:t>
      </w:r>
    </w:p>
    <w:p>
      <w:pPr>
        <w:pStyle w:val="32"/>
        <w:numPr>
          <w:ilvl w:val="0"/>
          <w:numId w:val="2"/>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市内の施設を活動の拠点としていること</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※１　中学校等の生徒を主な対象とするが、小学生や高校生、大人等と一緒に活動する多世代の取組を排除するものではない。以下同じ。</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※４　新規に地域クラブを設立する場合、過半数が市内在住となるよう生徒を集めること。</w:t>
      </w:r>
    </w:p>
    <w:p>
      <w:pPr>
        <w:pStyle w:val="0"/>
        <w:snapToGrid w:val="0"/>
        <w:ind w:left="709"/>
        <w:jc w:val="left"/>
        <w:rPr>
          <w:rFonts w:hint="default" w:asciiTheme="minorEastAsia" w:hAnsiTheme="minorEastAsia" w:eastAsiaTheme="minorEastAsia"/>
          <w:sz w:val="24"/>
        </w:rPr>
      </w:pPr>
    </w:p>
    <w:p>
      <w:pPr>
        <w:pStyle w:val="0"/>
        <w:snapToGrid w:val="0"/>
        <w:ind w:left="241" w:hanging="241" w:hangingChars="10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②</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適切な活動時間や休養日が設定されていること</w:t>
      </w:r>
    </w:p>
    <w:p>
      <w:pPr>
        <w:pStyle w:val="32"/>
        <w:numPr>
          <w:ilvl w:val="0"/>
          <w:numId w:val="3"/>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生徒の心身の成長に配慮して健康に生活を送れるよう、週２日以上の休養日を設定し、活動時間は、平日は１日２時間程度以内、休日は１日３時間程度以内とし、週当たりの活動時間は</w:t>
      </w:r>
      <w:r>
        <w:rPr>
          <w:rFonts w:hint="default" w:asciiTheme="minorEastAsia" w:hAnsiTheme="minorEastAsia" w:eastAsiaTheme="minorEastAsia"/>
          <w:sz w:val="24"/>
        </w:rPr>
        <w:t>11</w:t>
      </w:r>
      <w:r>
        <w:rPr>
          <w:rFonts w:hint="default" w:asciiTheme="minorEastAsia" w:hAnsiTheme="minorEastAsia" w:eastAsiaTheme="minorEastAsia"/>
          <w:sz w:val="24"/>
        </w:rPr>
        <w:t>時間程度の範囲内とすること。その上で、できるだけ短時間で合理的かつ効率的・効果的な活動となっていること</w:t>
      </w:r>
      <w:r>
        <w:rPr>
          <w:rFonts w:hint="eastAsia" w:asciiTheme="minorEastAsia" w:hAnsiTheme="minorEastAsia" w:eastAsiaTheme="minorEastAsia"/>
          <w:sz w:val="24"/>
          <w:vertAlign w:val="superscript"/>
        </w:rPr>
        <w:t>※１</w:t>
      </w:r>
    </w:p>
    <w:p>
      <w:pPr>
        <w:pStyle w:val="32"/>
        <w:numPr>
          <w:ilvl w:val="0"/>
          <w:numId w:val="3"/>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年間の活動計画（活動日、休養日及び参加予定大会の日程等）や毎月の活動計画（活動日時・場所、休養日及び大会参加日等）を策定し、公表していること</w:t>
      </w:r>
    </w:p>
    <w:p>
      <w:pPr>
        <w:pStyle w:val="0"/>
        <w:snapToGrid w:val="0"/>
        <w:spacing w:line="280" w:lineRule="exact"/>
        <w:ind w:left="420" w:leftChars="100" w:hanging="210" w:hangingChars="100"/>
        <w:jc w:val="left"/>
        <w:rPr>
          <w:rFonts w:hint="default" w:asciiTheme="minorEastAsia" w:hAnsiTheme="minorEastAsia" w:eastAsiaTheme="minorEastAsia"/>
          <w:sz w:val="22"/>
        </w:rPr>
      </w:pPr>
      <w:r>
        <w:rPr>
          <w:rFonts w:hint="eastAsia" w:asciiTheme="minorEastAsia" w:hAnsiTheme="minorEastAsia" w:eastAsiaTheme="minorEastAsia"/>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Pr>
          <w:rFonts w:hint="default" w:asciiTheme="minorEastAsia" w:hAnsiTheme="minorEastAsia" w:eastAsiaTheme="minorEastAsia"/>
        </w:rPr>
        <w:t xml:space="preserve"> 11 </w:t>
      </w:r>
      <w:r>
        <w:rPr>
          <w:rFonts w:hint="default" w:asciiTheme="minorEastAsia" w:hAnsiTheme="minorEastAsia" w:eastAsiaTheme="minorEastAsia"/>
        </w:rPr>
        <w:t>時間程度の範囲内に収まり、かつ、週２日以上の休養日が設けられるのであれば、平日の活動を週３日以内に抑えつつ休日に２日間連続して活動を行うなど、柔軟な対応を行うことも可能。</w:t>
      </w:r>
    </w:p>
    <w:p>
      <w:pPr>
        <w:pStyle w:val="0"/>
        <w:snapToGrid w:val="0"/>
        <w:ind w:left="709"/>
        <w:jc w:val="left"/>
        <w:rPr>
          <w:rFonts w:hint="default" w:asciiTheme="minorEastAsia" w:hAnsiTheme="minorEastAsia" w:eastAsiaTheme="minorEastAsia"/>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③</w:t>
      </w:r>
      <w:r>
        <w:rPr>
          <w:rFonts w:hint="default" w:asciiTheme="minorEastAsia" w:hAnsiTheme="minorEastAsia" w:eastAsiaTheme="minorEastAsia"/>
          <w:b w:val="1"/>
          <w:sz w:val="24"/>
        </w:rPr>
        <w:t xml:space="preserve"> </w:t>
      </w:r>
      <w:r>
        <w:rPr>
          <w:rFonts w:hint="eastAsia" w:asciiTheme="minorEastAsia" w:hAnsiTheme="minorEastAsia" w:eastAsiaTheme="minorEastAsia"/>
          <w:b w:val="1"/>
          <w:kern w:val="0"/>
          <w:sz w:val="24"/>
        </w:rPr>
        <w:t>活動の維持・運営に必要な範囲で、可能な限り低廉な参加費等が設定されていること</w:t>
      </w:r>
    </w:p>
    <w:p>
      <w:pPr>
        <w:pStyle w:val="32"/>
        <w:numPr>
          <w:ilvl w:val="0"/>
          <w:numId w:val="4"/>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④</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適切な指導の実施体制が確保されていること</w:t>
      </w:r>
    </w:p>
    <w:p>
      <w:pPr>
        <w:pStyle w:val="32"/>
        <w:numPr>
          <w:ilvl w:val="0"/>
          <w:numId w:val="4"/>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地域クラブ活動において指導や指導補助、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pPr>
        <w:pStyle w:val="32"/>
        <w:numPr>
          <w:ilvl w:val="0"/>
          <w:numId w:val="5"/>
        </w:numPr>
        <w:snapToGrid w:val="0"/>
        <w:ind w:left="709" w:hanging="442"/>
        <w:contextualSpacing w:val="0"/>
        <w:rPr>
          <w:rFonts w:hint="default" w:asciiTheme="minorEastAsia" w:hAnsiTheme="minorEastAsia" w:eastAsiaTheme="minorEastAsia"/>
          <w:sz w:val="24"/>
        </w:rPr>
      </w:pPr>
      <w:r>
        <w:rPr>
          <w:rFonts w:hint="eastAsia" w:asciiTheme="minorEastAsia" w:hAnsiTheme="minorEastAsia" w:eastAsiaTheme="minorEastAsia"/>
          <w:sz w:val="24"/>
        </w:rPr>
        <w:t>公認スポーツ・文化芸術指導者資格を有している、又は次のいずれかの市が基準とする要件を満たしている指導者の指導の下、活動が行われていること</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　ア　教員免許を取得しており、当該運動競技や文化芸術活動の部活動指導実績がある者</w:t>
      </w:r>
    </w:p>
    <w:p>
      <w:pPr>
        <w:pStyle w:val="0"/>
        <w:ind w:left="690" w:leftChars="10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　イ　学校教育法第１条に規定する学校において、当該運動競技や文化芸術活動の指導実績がある者</w:t>
      </w:r>
    </w:p>
    <w:p>
      <w:pPr>
        <w:pStyle w:val="0"/>
        <w:ind w:left="690" w:leftChars="10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　ウ　市内各競技団体・各文化芸術団体、市教育委員会、市内中学校長のいずれかの推薦がある者</w:t>
      </w:r>
    </w:p>
    <w:p>
      <w:pPr>
        <w:pStyle w:val="32"/>
        <w:numPr>
          <w:numId w:val="0"/>
        </w:numPr>
        <w:snapToGrid w:val="0"/>
        <w:ind w:left="690" w:leftChars="100" w:hanging="480" w:hangingChars="200"/>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　エ　高等学校卒業程度の資格を有し、専門学校、大学又は大学院に在籍し、かつ、当該運動競技や文化芸術活動の経験があり、当該学校の関係者から指導者として適格であると推薦された者</w:t>
      </w:r>
    </w:p>
    <w:p>
      <w:pPr>
        <w:pStyle w:val="32"/>
        <w:numPr>
          <w:numId w:val="0"/>
        </w:numPr>
        <w:snapToGrid w:val="0"/>
        <w:ind w:left="690" w:leftChars="100" w:hanging="480" w:hangingChars="200"/>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　オ　市が定める研修を受講した者</w:t>
      </w:r>
    </w:p>
    <w:p>
      <w:pPr>
        <w:pStyle w:val="32"/>
        <w:numPr>
          <w:ilvl w:val="0"/>
          <w:numId w:val="4"/>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持続的・安定的な活動を確保するとともに、事故や暴力・暴言・ハラスメント等の不適切行為を防止する観点から、原則として、複数の指導人材が携わること</w:t>
      </w:r>
      <w:r>
        <w:rPr>
          <w:rFonts w:hint="eastAsia" w:asciiTheme="minorEastAsia" w:hAnsiTheme="minorEastAsia" w:eastAsiaTheme="minorEastAsia"/>
          <w:sz w:val="24"/>
          <w:vertAlign w:val="superscript"/>
        </w:rPr>
        <w:t>※１</w:t>
      </w:r>
    </w:p>
    <w:p>
      <w:pPr>
        <w:pStyle w:val="0"/>
        <w:snapToGrid w:val="0"/>
        <w:spacing w:line="26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※１　複数の指導人材が活動に携わることが困難な場合には、市等の職員・コーディネーターや運営団体の職員等による地域クラブ活動の実施主体への巡回指導を適切に実施すること等により、事故防止や暴力・暴言・ハラスメント等の不適切行為の防止を図ること。</w:t>
      </w:r>
    </w:p>
    <w:p>
      <w:pPr>
        <w:pStyle w:val="0"/>
        <w:snapToGrid w:val="0"/>
        <w:ind w:left="709"/>
        <w:jc w:val="left"/>
        <w:rPr>
          <w:rFonts w:hint="default" w:asciiTheme="minorEastAsia" w:hAnsiTheme="minorEastAsia" w:eastAsiaTheme="minorEastAsia"/>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⑤</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適切な安全確保の体制が確保されていること</w:t>
      </w:r>
    </w:p>
    <w:p>
      <w:pPr>
        <w:pStyle w:val="32"/>
        <w:numPr>
          <w:ilvl w:val="0"/>
          <w:numId w:val="6"/>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生徒の発達段階や健康の状態、気温や湿度、暑さ指数（</w:t>
      </w:r>
      <w:r>
        <w:rPr>
          <w:rFonts w:hint="default" w:asciiTheme="minorEastAsia" w:hAnsiTheme="minorEastAsia" w:eastAsiaTheme="minorEastAsia"/>
          <w:sz w:val="24"/>
        </w:rPr>
        <w:t>WBGT</w:t>
      </w:r>
      <w:r>
        <w:rPr>
          <w:rFonts w:hint="default" w:asciiTheme="minorEastAsia" w:hAnsiTheme="minorEastAsia" w:eastAsiaTheme="minorEastAsia"/>
          <w:sz w:val="24"/>
        </w:rPr>
        <w:t>）等の環境を考慮のうえ、適切な指導内容や活動時間、休息時間、水分補給の機会等を設定するとともに、活動場所の管理主体と連携した施設・設備・用具の点検等を行い、事故防止を徹底すること</w:t>
      </w:r>
    </w:p>
    <w:p>
      <w:pPr>
        <w:pStyle w:val="32"/>
        <w:numPr>
          <w:ilvl w:val="0"/>
          <w:numId w:val="6"/>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市、地域クラブ活動の運営・実施主体、活動場所の管理主体等との間で、あらかじめ、事故等が発生した場合の対応や責任関係等を明確化していること</w:t>
      </w:r>
    </w:p>
    <w:p>
      <w:pPr>
        <w:pStyle w:val="32"/>
        <w:numPr>
          <w:ilvl w:val="0"/>
          <w:numId w:val="6"/>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保護者や関係機関への緊急時の連絡体制の整備等を行い、事故発生時の対応を適切に行うこと</w:t>
      </w:r>
    </w:p>
    <w:p>
      <w:pPr>
        <w:pStyle w:val="32"/>
        <w:numPr>
          <w:ilvl w:val="0"/>
          <w:numId w:val="6"/>
        </w:numPr>
        <w:snapToGrid w:val="0"/>
        <w:ind w:left="709"/>
        <w:contextualSpacing w:val="0"/>
        <w:jc w:val="left"/>
        <w:rPr>
          <w:rFonts w:hint="default" w:asciiTheme="minorEastAsia" w:hAnsiTheme="minorEastAsia" w:eastAsiaTheme="minorEastAsia"/>
          <w:b w:val="1"/>
          <w:sz w:val="24"/>
        </w:rPr>
      </w:pPr>
      <w:r>
        <w:rPr>
          <w:rFonts w:hint="eastAsia" w:asciiTheme="minorEastAsia" w:hAnsiTheme="minorEastAsia" w:eastAsiaTheme="minorEastAsia"/>
          <w:sz w:val="24"/>
        </w:rPr>
        <w:t>参加者及び指導人材が、自身の怪我等を補償する保険や個人賠償責任保険に加入していること</w:t>
      </w:r>
    </w:p>
    <w:p>
      <w:pPr>
        <w:pStyle w:val="0"/>
        <w:snapToGrid w:val="0"/>
        <w:ind w:left="709"/>
        <w:jc w:val="left"/>
        <w:rPr>
          <w:rFonts w:hint="default" w:asciiTheme="minorEastAsia" w:hAnsiTheme="minorEastAsia" w:eastAsiaTheme="minorEastAsia"/>
          <w:b w:val="1"/>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⑥</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適切な運営体制が確保されていること</w:t>
      </w:r>
    </w:p>
    <w:p>
      <w:pPr>
        <w:pStyle w:val="32"/>
        <w:numPr>
          <w:ilvl w:val="0"/>
          <w:numId w:val="7"/>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次の内容を含む規約等</w:t>
      </w:r>
      <w:r>
        <w:rPr>
          <w:rFonts w:hint="eastAsia" w:asciiTheme="minorEastAsia" w:hAnsiTheme="minorEastAsia" w:eastAsiaTheme="minorEastAsia"/>
          <w:sz w:val="24"/>
          <w:vertAlign w:val="superscript"/>
        </w:rPr>
        <w:t>※１</w:t>
      </w:r>
      <w:r>
        <w:rPr>
          <w:rFonts w:hint="eastAsia" w:asciiTheme="minorEastAsia" w:hAnsiTheme="minorEastAsia" w:eastAsiaTheme="minorEastAsia"/>
          <w:sz w:val="24"/>
        </w:rPr>
        <w:t>を作成・公表していること。また、関係法令を遵守するとともに、規約等に基づき適切な運営が行われていること</w:t>
      </w:r>
      <w:r>
        <w:rPr>
          <w:rFonts w:hint="eastAsia" w:asciiTheme="minorEastAsia" w:hAnsiTheme="minorEastAsia" w:eastAsiaTheme="minorEastAsia"/>
          <w:sz w:val="24"/>
          <w:vertAlign w:val="superscript"/>
        </w:rPr>
        <w:t>※２</w:t>
      </w:r>
    </w:p>
    <w:p>
      <w:pPr>
        <w:pStyle w:val="32"/>
        <w:numPr>
          <w:ilvl w:val="1"/>
          <w:numId w:val="8"/>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団体の目的</w:t>
      </w:r>
    </w:p>
    <w:p>
      <w:pPr>
        <w:pStyle w:val="32"/>
        <w:numPr>
          <w:ilvl w:val="1"/>
          <w:numId w:val="8"/>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役員（代表、副代表、会計、監事</w:t>
      </w:r>
      <w:r>
        <w:rPr>
          <w:rFonts w:hint="eastAsia" w:asciiTheme="minorEastAsia" w:hAnsiTheme="minorEastAsia" w:eastAsiaTheme="minorEastAsia"/>
          <w:sz w:val="24"/>
          <w:vertAlign w:val="superscript"/>
        </w:rPr>
        <w:t>※３</w:t>
      </w:r>
      <w:r>
        <w:rPr>
          <w:rFonts w:hint="eastAsia" w:asciiTheme="minorEastAsia" w:hAnsiTheme="minorEastAsia" w:eastAsiaTheme="minorEastAsia"/>
          <w:sz w:val="24"/>
        </w:rPr>
        <w:t>）の選任・解任に関すること</w:t>
      </w:r>
    </w:p>
    <w:p>
      <w:pPr>
        <w:pStyle w:val="32"/>
        <w:numPr>
          <w:ilvl w:val="1"/>
          <w:numId w:val="8"/>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総会の運営など団体の意思決定に関すること</w:t>
      </w:r>
    </w:p>
    <w:p>
      <w:pPr>
        <w:pStyle w:val="32"/>
        <w:numPr>
          <w:ilvl w:val="1"/>
          <w:numId w:val="8"/>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会員の入退会、参加費等に関すること</w:t>
      </w:r>
    </w:p>
    <w:p>
      <w:pPr>
        <w:pStyle w:val="32"/>
        <w:numPr>
          <w:ilvl w:val="1"/>
          <w:numId w:val="8"/>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予算・決算の審議・承認に関すること　</w:t>
      </w:r>
    </w:p>
    <w:p>
      <w:pPr>
        <w:pStyle w:val="32"/>
        <w:numPr>
          <w:ilvl w:val="0"/>
          <w:numId w:val="7"/>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公正かつ適切な会計処理が行われ、透明性を確保するために関係者に対する情報開示が適切に行われていること</w:t>
      </w:r>
    </w:p>
    <w:p>
      <w:pPr>
        <w:pStyle w:val="32"/>
        <w:numPr>
          <w:ilvl w:val="0"/>
          <w:numId w:val="7"/>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営利を主たる目的とせずに運営すること</w:t>
      </w:r>
      <w:r>
        <w:rPr>
          <w:rFonts w:hint="eastAsia" w:asciiTheme="minorEastAsia" w:hAnsiTheme="minorEastAsia" w:eastAsiaTheme="minorEastAsia"/>
          <w:sz w:val="24"/>
          <w:vertAlign w:val="superscript"/>
        </w:rPr>
        <w:t>※４</w:t>
      </w:r>
    </w:p>
    <w:p>
      <w:pPr>
        <w:pStyle w:val="32"/>
        <w:numPr>
          <w:ilvl w:val="0"/>
          <w:numId w:val="7"/>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大会・コンクールに参加する場合には、その運営に積極的に協力すること</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※１　運営・実施主体を全体として評価し、実質的に適切な運営体制が確保されていれば差し支えない。</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※２　日本スポーツ協会の総合型地域スポーツクラブ登録制度の登録クラブの場合には、確認事項の一部を満たしていると判断する。</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pPr>
        <w:pStyle w:val="0"/>
        <w:snapToGrid w:val="0"/>
        <w:ind w:left="709"/>
        <w:jc w:val="left"/>
        <w:rPr>
          <w:rFonts w:hint="default" w:asciiTheme="minorEastAsia" w:hAnsiTheme="minorEastAsia" w:eastAsiaTheme="minorEastAsia"/>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⑦</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学校等との連携が適切に行われていること</w:t>
      </w:r>
    </w:p>
    <w:p>
      <w:pPr>
        <w:pStyle w:val="32"/>
        <w:numPr>
          <w:ilvl w:val="0"/>
          <w:numId w:val="9"/>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地域クラブ活動の活動方針や指導方針、スケジュール等</w:t>
      </w:r>
      <w:r>
        <w:rPr>
          <w:rFonts w:hint="eastAsia" w:asciiTheme="minorEastAsia" w:hAnsiTheme="minorEastAsia" w:eastAsiaTheme="minorEastAsia"/>
          <w:sz w:val="24"/>
          <w:vertAlign w:val="superscript"/>
        </w:rPr>
        <w:t>※１</w:t>
      </w:r>
      <w:r>
        <w:rPr>
          <w:rFonts w:hint="eastAsia" w:asciiTheme="minorEastAsia" w:hAnsiTheme="minorEastAsia" w:eastAsiaTheme="minorEastAsia"/>
          <w:sz w:val="24"/>
        </w:rPr>
        <w:t>を生徒の在籍する中学校等と共有すること</w:t>
      </w:r>
    </w:p>
    <w:p>
      <w:pPr>
        <w:pStyle w:val="32"/>
        <w:numPr>
          <w:ilvl w:val="0"/>
          <w:numId w:val="9"/>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生徒の活動状況や活動実績等について、生徒の在籍する中学校等と必要な情報を共有するとともに、情報を適切に管理すること</w:t>
      </w:r>
      <w:r>
        <w:rPr>
          <w:rFonts w:hint="eastAsia" w:asciiTheme="minorEastAsia" w:hAnsiTheme="minorEastAsia" w:eastAsiaTheme="minorEastAsia"/>
          <w:sz w:val="24"/>
          <w:vertAlign w:val="superscript"/>
        </w:rPr>
        <w:t>※２</w:t>
      </w:r>
    </w:p>
    <w:p>
      <w:pPr>
        <w:pStyle w:val="32"/>
        <w:numPr>
          <w:ilvl w:val="0"/>
          <w:numId w:val="9"/>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市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pPr>
        <w:pStyle w:val="32"/>
        <w:numPr>
          <w:ilvl w:val="0"/>
          <w:numId w:val="9"/>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活動場所として学校施設を活用する場合や希望する教職員による兼職兼業が行われる場合等には、その円滑な実施のため、市や学校との必要な連絡調整を行うこと</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※１　平日の学校部活動と休日の地域クラブ活動が併存している場合などには、平日と休日の活動の一貫指導の観点も含む。</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※２　</w:t>
      </w:r>
      <w:r>
        <w:rPr>
          <w:rFonts w:hint="default" w:asciiTheme="minorEastAsia" w:hAnsiTheme="minorEastAsia" w:eastAsiaTheme="minorEastAsia"/>
        </w:rPr>
        <w:t>地域クラブ活動への入会時に、生徒の在籍する中学校等と必要な情報を共有することについて、生徒の保護者の同意を得ておくこと。</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※３　学校行事等について学校と情報を共有し、適切な活動スケジュールを配慮すること。</w:t>
      </w:r>
    </w:p>
    <w:p>
      <w:pPr>
        <w:pStyle w:val="32"/>
        <w:ind w:left="440"/>
        <w:jc w:val="left"/>
        <w:rPr>
          <w:rFonts w:hint="default" w:asciiTheme="minorEastAsia" w:hAnsiTheme="minorEastAsia" w:eastAsiaTheme="minorEastAsia"/>
          <w:sz w:val="24"/>
        </w:rPr>
      </w:pPr>
    </w:p>
    <w:p>
      <w:pPr>
        <w:pStyle w:val="32"/>
        <w:ind w:left="44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上記、要件を確認しました。</w:t>
      </w:r>
    </w:p>
    <w:p>
      <w:pPr>
        <w:pStyle w:val="0"/>
        <w:jc w:val="left"/>
        <w:rPr>
          <w:rFonts w:hint="default" w:asciiTheme="minorEastAsia" w:hAnsiTheme="minorEastAsia" w:eastAsiaTheme="minorEastAsia"/>
          <w:sz w:val="24"/>
        </w:rPr>
      </w:pPr>
    </w:p>
    <w:p>
      <w:pPr>
        <w:pStyle w:val="0"/>
        <w:ind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ind w:firstLine="480" w:firstLineChars="200"/>
        <w:jc w:val="right"/>
        <w:rPr>
          <w:rFonts w:hint="default" w:asciiTheme="minorEastAsia" w:hAnsiTheme="minorEastAsia" w:eastAsiaTheme="minorEastAsia"/>
          <w:sz w:val="24"/>
        </w:rPr>
      </w:pPr>
    </w:p>
    <w:p>
      <w:pPr>
        <w:pStyle w:val="0"/>
        <w:ind w:right="240"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　旭市教育委員会　</w:t>
      </w:r>
    </w:p>
    <w:p>
      <w:pPr>
        <w:pStyle w:val="0"/>
        <w:ind w:firstLine="480" w:firstLineChars="200"/>
        <w:jc w:val="left"/>
        <w:rPr>
          <w:rFonts w:hint="default" w:asciiTheme="minorEastAsia" w:hAnsiTheme="minorEastAsia" w:eastAsiaTheme="minorEastAsia"/>
          <w:sz w:val="24"/>
        </w:rPr>
      </w:pPr>
    </w:p>
    <w:p>
      <w:pPr>
        <w:pStyle w:val="0"/>
        <w:wordWrap w:val="0"/>
        <w:ind w:firstLine="480" w:firstLineChars="200"/>
        <w:jc w:val="right"/>
        <w:rPr>
          <w:rFonts w:hint="default" w:asciiTheme="minorEastAsia" w:hAnsiTheme="minorEastAsia" w:eastAsiaTheme="minorEastAsia"/>
          <w:sz w:val="24"/>
        </w:rPr>
      </w:pPr>
    </w:p>
    <w:p>
      <w:pPr>
        <w:pStyle w:val="0"/>
        <w:wordWrap w:val="0"/>
        <w:ind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団体名　　　　　　　　　　　</w:t>
      </w:r>
    </w:p>
    <w:p>
      <w:pPr>
        <w:pStyle w:val="0"/>
        <w:wordWrap w:val="0"/>
        <w:ind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代表者氏名　　　　　　　　　　　</w:t>
      </w:r>
    </w:p>
    <w:p>
      <w:pPr>
        <w:pStyle w:val="0"/>
        <w:widowControl w:val="1"/>
        <w:jc w:val="left"/>
        <w:rPr>
          <w:rFonts w:hint="default" w:asciiTheme="minorEastAsia" w:hAnsiTheme="minorEastAsia" w:eastAsiaTheme="minorEastAsia"/>
          <w:sz w:val="24"/>
        </w:rPr>
      </w:pPr>
      <w:bookmarkStart w:id="0" w:name="_GoBack"/>
      <w:bookmarkEnd w:id="0"/>
    </w:p>
    <w:sectPr>
      <w:pgSz w:w="11906" w:h="16838"/>
      <w:pgMar w:top="1440" w:right="1077" w:bottom="851" w:left="107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34CC32C"/>
    <w:lvl w:ilvl="0" w:tplc="E9482AB0">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E80C928C"/>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2">
    <w:nsid w:val="00000003"/>
    <w:multiLevelType w:val="hybridMultilevel"/>
    <w:tmpl w:val="D034E3C2"/>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3">
    <w:nsid w:val="00000004"/>
    <w:multiLevelType w:val="hybridMultilevel"/>
    <w:tmpl w:val="961C3008"/>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4">
    <w:nsid w:val="00000005"/>
    <w:multiLevelType w:val="hybridMultilevel"/>
    <w:tmpl w:val="961C3008"/>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5">
    <w:nsid w:val="00000006"/>
    <w:multiLevelType w:val="hybridMultilevel"/>
    <w:tmpl w:val="98A6C62E"/>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6">
    <w:nsid w:val="00000007"/>
    <w:multiLevelType w:val="hybridMultilevel"/>
    <w:tmpl w:val="68A4B2F0"/>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7">
    <w:nsid w:val="00000008"/>
    <w:multiLevelType w:val="hybridMultilevel"/>
    <w:tmpl w:val="3514CDFC"/>
    <w:lvl w:ilvl="0" w:tplc="FFFFFFFF">
      <w:numFmt w:val="bullet"/>
      <w:lvlText w:val="⃞"/>
      <w:lvlJc w:val="left"/>
      <w:pPr>
        <w:ind w:left="440" w:hanging="440"/>
      </w:pPr>
      <w:rPr>
        <w:rFonts w:hint="eastAsia" w:ascii="メイリオ" w:hAnsi="メイリオ" w:eastAsia="メイリオ"/>
      </w:rPr>
    </w:lvl>
    <w:lvl w:ilvl="1" w:tplc="41D6FBC4">
      <w:numFmt w:val="bullet"/>
      <w:lvlText w:val="・"/>
      <w:lvlJc w:val="left"/>
      <w:pPr>
        <w:ind w:left="880" w:hanging="440"/>
      </w:pPr>
      <w:rPr>
        <w:rFonts w:hint="eastAsia" w:ascii="ＭＳ ゴシック" w:hAnsi="ＭＳ ゴシック" w:eastAsia="ＭＳ ゴシック"/>
      </w:rPr>
    </w:lvl>
    <w:lvl w:ilvl="2" w:tplc="B3E006B6">
      <w:numFmt w:val="bullet"/>
      <w:lvlText w:val="▲"/>
      <w:lvlJc w:val="left"/>
      <w:pPr>
        <w:ind w:left="1240" w:hanging="360"/>
      </w:pPr>
      <w:rPr>
        <w:rFonts w:hint="eastAsia" w:ascii="ＭＳ 明朝" w:hAnsi="ＭＳ 明朝" w:eastAsia="ＭＳ 明朝"/>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8">
    <w:nsid w:val="00000009"/>
    <w:multiLevelType w:val="hybridMultilevel"/>
    <w:tmpl w:val="15D60D18"/>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5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paragraph" w:styleId="52">
    <w:name w:val="Balloon Text"/>
    <w:basedOn w:val="0"/>
    <w:next w:val="52"/>
    <w:link w:val="0"/>
    <w:uiPriority w:val="0"/>
    <w:semiHidden/>
    <w:rPr>
      <w:rFonts w:asciiTheme="majorHAnsi" w:hAnsiTheme="majorHAnsi" w:eastAsiaTheme="majorEastAsia"/>
      <w:sz w:val="18"/>
    </w:rPr>
  </w:style>
  <w:style w:type="table" w:styleId="53">
    <w:name w:val="Table Grid"/>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customStyle="1">
    <w:name w:val="表（シンプル 1）"/>
    <w:basedOn w:val="11"/>
    <w:next w:val="5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2148</TotalTime>
  <Pages>18</Pages>
  <Words>91</Words>
  <Characters>7353</Characters>
  <Application>JUST Note</Application>
  <Lines>4080</Lines>
  <Paragraphs>423</Paragraphs>
  <CharactersWithSpaces>7977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上野拓海</dc:creator>
  <cp:lastModifiedBy>Administrator</cp:lastModifiedBy>
  <cp:lastPrinted>2026-04-20T01:05:42Z</cp:lastPrinted>
  <dcterms:created xsi:type="dcterms:W3CDTF">2025-12-04T09:04:00Z</dcterms:created>
  <dcterms:modified xsi:type="dcterms:W3CDTF">2026-05-01T04:29:13Z</dcterms:modified>
  <cp:revision>91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